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740DE" w14:textId="549A22B4" w:rsidR="00CE6216" w:rsidRPr="00050CC2" w:rsidRDefault="00325599" w:rsidP="00513C6A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513C6A">
        <w:rPr>
          <w:rFonts w:ascii="Arial" w:hAnsi="Arial" w:cs="Arial"/>
          <w:b/>
          <w:bCs/>
          <w:sz w:val="32"/>
          <w:szCs w:val="32"/>
        </w:rPr>
        <w:t>Q &amp;A during the PACFA-DTAA seminar (April 2022)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E6216" w:rsidRPr="00CE6216" w14:paraId="56703D6A" w14:textId="77777777" w:rsidTr="00CE6216">
        <w:tc>
          <w:tcPr>
            <w:tcW w:w="4508" w:type="dxa"/>
          </w:tcPr>
          <w:p w14:paraId="1FE6B1F9" w14:textId="43EA6859" w:rsidR="00CE6216" w:rsidRPr="00CE6216" w:rsidRDefault="00CE6216" w:rsidP="00CE621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Questions</w:t>
            </w:r>
          </w:p>
        </w:tc>
        <w:tc>
          <w:tcPr>
            <w:tcW w:w="4508" w:type="dxa"/>
          </w:tcPr>
          <w:p w14:paraId="70465D25" w14:textId="63021B6F" w:rsidR="00CE6216" w:rsidRPr="00CE6216" w:rsidRDefault="00CE6216" w:rsidP="00CE621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Answers</w:t>
            </w:r>
          </w:p>
        </w:tc>
      </w:tr>
      <w:tr w:rsidR="00CE6216" w14:paraId="385C15DB" w14:textId="77777777" w:rsidTr="00CE6216">
        <w:tc>
          <w:tcPr>
            <w:tcW w:w="4508" w:type="dxa"/>
          </w:tcPr>
          <w:p w14:paraId="12EFE7FB" w14:textId="77777777" w:rsidR="00CE6216" w:rsidRPr="00513C6A" w:rsidRDefault="00CE6216" w:rsidP="006563BE">
            <w:pPr>
              <w:rPr>
                <w:rFonts w:ascii="Arial" w:hAnsi="Arial" w:cs="Arial"/>
              </w:rPr>
            </w:pPr>
            <w:r w:rsidRPr="00513C6A">
              <w:rPr>
                <w:rFonts w:ascii="Arial" w:hAnsi="Arial" w:cs="Arial"/>
              </w:rPr>
              <w:t>How much is the PACFA fee for individuals to join?</w:t>
            </w:r>
          </w:p>
          <w:p w14:paraId="2AF0F7C8" w14:textId="77777777" w:rsidR="00CE6216" w:rsidRDefault="00CE6216" w:rsidP="006563BE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795E7930" w14:textId="1E459814" w:rsidR="00CE6216" w:rsidRDefault="00CE6216" w:rsidP="00656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$369</w:t>
            </w:r>
          </w:p>
        </w:tc>
      </w:tr>
      <w:tr w:rsidR="00CE6216" w14:paraId="02D65947" w14:textId="77777777" w:rsidTr="00CE6216">
        <w:tc>
          <w:tcPr>
            <w:tcW w:w="4508" w:type="dxa"/>
          </w:tcPr>
          <w:p w14:paraId="5FE64C06" w14:textId="77777777" w:rsidR="00CE6216" w:rsidRPr="00513C6A" w:rsidRDefault="00CE6216" w:rsidP="006563BE">
            <w:pPr>
              <w:rPr>
                <w:rFonts w:ascii="Arial" w:hAnsi="Arial" w:cs="Arial"/>
              </w:rPr>
            </w:pPr>
            <w:r w:rsidRPr="00513C6A">
              <w:rPr>
                <w:rFonts w:ascii="Arial" w:hAnsi="Arial" w:cs="Arial"/>
              </w:rPr>
              <w:t xml:space="preserve">Is there any recognition of psychotherapy experience or </w:t>
            </w:r>
            <w:r>
              <w:rPr>
                <w:rFonts w:ascii="Arial" w:hAnsi="Arial" w:cs="Arial"/>
              </w:rPr>
              <w:t xml:space="preserve">is </w:t>
            </w:r>
            <w:r w:rsidRPr="00513C6A">
              <w:rPr>
                <w:rFonts w:ascii="Arial" w:hAnsi="Arial" w:cs="Arial"/>
              </w:rPr>
              <w:t>only training</w:t>
            </w:r>
            <w:r>
              <w:rPr>
                <w:rFonts w:ascii="Arial" w:hAnsi="Arial" w:cs="Arial"/>
              </w:rPr>
              <w:t xml:space="preserve"> in psychotherapy acceptable</w:t>
            </w:r>
            <w:r w:rsidRPr="00513C6A">
              <w:rPr>
                <w:rFonts w:ascii="Arial" w:hAnsi="Arial" w:cs="Arial"/>
              </w:rPr>
              <w:t>?</w:t>
            </w:r>
          </w:p>
          <w:p w14:paraId="3FBF504B" w14:textId="77777777" w:rsidR="00CE6216" w:rsidRDefault="00CE6216" w:rsidP="006563BE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29783001" w14:textId="453D2820" w:rsidR="00CE6216" w:rsidRDefault="00CE6216" w:rsidP="00656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RPL (recognition of prior learning) pathway is being phased out.  If you apply now, you must have a degree in psychotherapy or counselling.</w:t>
            </w:r>
          </w:p>
        </w:tc>
      </w:tr>
      <w:tr w:rsidR="00CE6216" w14:paraId="65AA4592" w14:textId="77777777" w:rsidTr="00CE6216">
        <w:tc>
          <w:tcPr>
            <w:tcW w:w="4508" w:type="dxa"/>
          </w:tcPr>
          <w:p w14:paraId="05FE533B" w14:textId="08CBA088" w:rsidR="00CE6216" w:rsidRPr="00513C6A" w:rsidRDefault="00CE6216" w:rsidP="006563BE">
            <w:pPr>
              <w:rPr>
                <w:rFonts w:ascii="Arial" w:hAnsi="Arial" w:cs="Arial"/>
              </w:rPr>
            </w:pPr>
            <w:r w:rsidRPr="00513C6A">
              <w:rPr>
                <w:rFonts w:ascii="Arial" w:hAnsi="Arial" w:cs="Arial"/>
              </w:rPr>
              <w:t>What about work experience rather than training? What if we have 400 hours of experience working as a psychotherapist/ DMT?</w:t>
            </w:r>
          </w:p>
          <w:p w14:paraId="742BB422" w14:textId="77777777" w:rsidR="00CE6216" w:rsidRDefault="00CE6216" w:rsidP="006563BE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4BAA7729" w14:textId="3CE6ED9C" w:rsidR="00CE6216" w:rsidRDefault="00CE6216" w:rsidP="00656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experience does not count.</w:t>
            </w:r>
            <w:r w:rsidRPr="00513C6A">
              <w:rPr>
                <w:rFonts w:ascii="Arial" w:hAnsi="Arial" w:cs="Arial"/>
              </w:rPr>
              <w:t xml:space="preserve"> </w:t>
            </w:r>
            <w:r w:rsidRPr="00513C6A">
              <w:rPr>
                <w:rFonts w:ascii="Arial" w:hAnsi="Arial" w:cs="Arial"/>
              </w:rPr>
              <w:t xml:space="preserve">You need to have another qualification such as psychology, psychotherapy or counselling to be able to register with PACFA. </w:t>
            </w:r>
            <w:r>
              <w:rPr>
                <w:rFonts w:ascii="Arial" w:hAnsi="Arial" w:cs="Arial"/>
              </w:rPr>
              <w:t>And it might possibly be considered and ethical breach to have called your work psychotherapy without a degree.</w:t>
            </w:r>
          </w:p>
        </w:tc>
      </w:tr>
      <w:tr w:rsidR="00CE6216" w14:paraId="3EA8BC4F" w14:textId="77777777" w:rsidTr="00CE6216">
        <w:tc>
          <w:tcPr>
            <w:tcW w:w="4508" w:type="dxa"/>
          </w:tcPr>
          <w:p w14:paraId="503BDE89" w14:textId="26A32013" w:rsidR="00CE6216" w:rsidRDefault="00CE6216" w:rsidP="00656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PACFA has a Scope of Practice? </w:t>
            </w:r>
          </w:p>
        </w:tc>
        <w:tc>
          <w:tcPr>
            <w:tcW w:w="4508" w:type="dxa"/>
          </w:tcPr>
          <w:p w14:paraId="23D50836" w14:textId="1087929A" w:rsidR="00CE6216" w:rsidRDefault="00CE6216" w:rsidP="006563BE">
            <w:pPr>
              <w:rPr>
                <w:rFonts w:ascii="Arial" w:hAnsi="Arial" w:cs="Arial"/>
              </w:rPr>
            </w:pPr>
            <w:r w:rsidRPr="00513C6A">
              <w:rPr>
                <w:rFonts w:ascii="Arial" w:hAnsi="Arial" w:cs="Arial"/>
              </w:rPr>
              <w:t xml:space="preserve">PACFA </w:t>
            </w:r>
            <w:r w:rsidR="00A52B87">
              <w:rPr>
                <w:rFonts w:ascii="Arial" w:hAnsi="Arial" w:cs="Arial"/>
              </w:rPr>
              <w:t>has</w:t>
            </w:r>
            <w:r w:rsidRPr="00513C6A">
              <w:rPr>
                <w:rFonts w:ascii="Arial" w:hAnsi="Arial" w:cs="Arial"/>
              </w:rPr>
              <w:t xml:space="preserve"> a </w:t>
            </w:r>
            <w:r w:rsidR="00A52B87">
              <w:rPr>
                <w:rFonts w:ascii="Arial" w:hAnsi="Arial" w:cs="Arial"/>
              </w:rPr>
              <w:t>S</w:t>
            </w:r>
            <w:r w:rsidRPr="00513C6A">
              <w:rPr>
                <w:rFonts w:ascii="Arial" w:hAnsi="Arial" w:cs="Arial"/>
              </w:rPr>
              <w:t>cope of</w:t>
            </w:r>
            <w:r w:rsidR="00A52B87">
              <w:rPr>
                <w:rFonts w:ascii="Arial" w:hAnsi="Arial" w:cs="Arial"/>
              </w:rPr>
              <w:t xml:space="preserve"> Practice See: </w:t>
            </w:r>
            <w:hyperlink r:id="rId5" w:history="1">
              <w:r w:rsidR="00A52B87" w:rsidRPr="008E590F">
                <w:rPr>
                  <w:rStyle w:val="Hyperlink"/>
                  <w:rFonts w:ascii="Arial" w:hAnsi="Arial" w:cs="Arial"/>
                </w:rPr>
                <w:t>https://pacfa.org.au/Portal/Prac-Res/Resources/PACFA-Scope-of-Practice.aspx?WebsiteKey=663df354-bb4c-40db-9f44-9f1e672224ed</w:t>
              </w:r>
            </w:hyperlink>
            <w:r w:rsidR="00A52B87">
              <w:rPr>
                <w:rFonts w:ascii="Arial" w:hAnsi="Arial" w:cs="Arial"/>
              </w:rPr>
              <w:t xml:space="preserve"> </w:t>
            </w:r>
          </w:p>
        </w:tc>
      </w:tr>
      <w:tr w:rsidR="00CE6216" w14:paraId="2DD60403" w14:textId="77777777" w:rsidTr="00CE6216">
        <w:tc>
          <w:tcPr>
            <w:tcW w:w="4508" w:type="dxa"/>
          </w:tcPr>
          <w:p w14:paraId="6A4D017B" w14:textId="34FC4FAA" w:rsidR="00CE6216" w:rsidRDefault="0038278A" w:rsidP="00656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an Allied Health Association?</w:t>
            </w:r>
          </w:p>
        </w:tc>
        <w:tc>
          <w:tcPr>
            <w:tcW w:w="4508" w:type="dxa"/>
          </w:tcPr>
          <w:p w14:paraId="5F5CF758" w14:textId="2B6B4C74" w:rsidR="0038278A" w:rsidRDefault="0038278A" w:rsidP="006563B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Within the field of allied health there are several categories of organisations.</w:t>
            </w:r>
            <w:r w:rsidR="00957A5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The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categories and the organisations germane to DTAA’s work include </w:t>
            </w:r>
          </w:p>
          <w:p w14:paraId="0C89C5B6" w14:textId="77777777" w:rsidR="0038278A" w:rsidRDefault="0038278A" w:rsidP="006563BE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Professional Registration/Credentialing bodies</w:t>
            </w:r>
          </w:p>
          <w:p w14:paraId="5DEC4F84" w14:textId="007FC79C" w:rsidR="0038278A" w:rsidRDefault="0038278A" w:rsidP="006563BE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National Advocacy bodies</w:t>
            </w:r>
          </w:p>
          <w:p w14:paraId="411957F4" w14:textId="018083CA" w:rsidR="0038278A" w:rsidRDefault="0038278A" w:rsidP="006563BE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Insurance Schemes</w:t>
            </w:r>
          </w:p>
          <w:p w14:paraId="6BB44869" w14:textId="77777777" w:rsidR="0038278A" w:rsidRDefault="0038278A" w:rsidP="006563B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A4C7E1A" w14:textId="2AC5107F" w:rsidR="0038278A" w:rsidRDefault="0038278A" w:rsidP="006563B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 Allied Health bodies</w:t>
            </w:r>
            <w:r w:rsidR="00957A5C">
              <w:rPr>
                <w:rFonts w:ascii="Arial" w:hAnsi="Arial" w:cs="Arial"/>
                <w:color w:val="000000"/>
                <w:sz w:val="22"/>
                <w:szCs w:val="22"/>
              </w:rPr>
              <w:t>, which form umbrella advocacy bodies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include:</w:t>
            </w:r>
          </w:p>
          <w:p w14:paraId="4DB37250" w14:textId="77777777" w:rsidR="0038278A" w:rsidRDefault="0038278A" w:rsidP="006563B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27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AHPA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38278A">
              <w:rPr>
                <w:rFonts w:ascii="Arial" w:hAnsi="Arial" w:cs="Arial"/>
                <w:color w:val="000000"/>
                <w:sz w:val="20"/>
                <w:szCs w:val="20"/>
              </w:rPr>
              <w:t>Allied Health Professions Australia</w:t>
            </w:r>
          </w:p>
          <w:p w14:paraId="78354E76" w14:textId="77777777" w:rsidR="0038278A" w:rsidRDefault="0038278A" w:rsidP="006563B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27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AHPRA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38278A">
              <w:rPr>
                <w:rFonts w:ascii="Arial" w:hAnsi="Arial" w:cs="Arial"/>
                <w:color w:val="000000"/>
                <w:sz w:val="20"/>
                <w:szCs w:val="20"/>
              </w:rPr>
              <w:t>Australian Health Professional Regulation Association</w:t>
            </w:r>
          </w:p>
          <w:p w14:paraId="39F40CF2" w14:textId="263EC23D" w:rsidR="0038278A" w:rsidRPr="0038278A" w:rsidRDefault="0038278A" w:rsidP="006563B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27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NASRHP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38278A">
              <w:rPr>
                <w:rFonts w:ascii="Arial" w:hAnsi="Arial" w:cs="Arial"/>
                <w:color w:val="000000"/>
                <w:sz w:val="20"/>
                <w:szCs w:val="20"/>
              </w:rPr>
              <w:t xml:space="preserve">National Alliance of </w:t>
            </w:r>
            <w:proofErr w:type="gramStart"/>
            <w:r w:rsidRPr="0038278A">
              <w:rPr>
                <w:rFonts w:ascii="Arial" w:hAnsi="Arial" w:cs="Arial"/>
                <w:color w:val="000000"/>
                <w:sz w:val="20"/>
                <w:szCs w:val="20"/>
              </w:rPr>
              <w:t>Self Regulating</w:t>
            </w:r>
            <w:proofErr w:type="gramEnd"/>
            <w:r w:rsidRPr="0038278A">
              <w:rPr>
                <w:rFonts w:ascii="Arial" w:hAnsi="Arial" w:cs="Arial"/>
                <w:color w:val="000000"/>
                <w:sz w:val="20"/>
                <w:szCs w:val="20"/>
              </w:rPr>
              <w:t xml:space="preserve"> Health Profession</w:t>
            </w:r>
          </w:p>
          <w:p w14:paraId="1D475C02" w14:textId="77777777" w:rsidR="0038278A" w:rsidRDefault="0038278A" w:rsidP="006563BE">
            <w:pPr>
              <w:rPr>
                <w:rFonts w:ascii="Arial" w:hAnsi="Arial" w:cs="Arial"/>
              </w:rPr>
            </w:pPr>
          </w:p>
          <w:p w14:paraId="273EC345" w14:textId="3BA7B22D" w:rsidR="00CE6216" w:rsidRDefault="0038278A" w:rsidP="00656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DTAA has </w:t>
            </w:r>
            <w:r w:rsidR="00957A5C">
              <w:rPr>
                <w:rFonts w:ascii="Arial" w:hAnsi="Arial" w:cs="Arial"/>
              </w:rPr>
              <w:t>currently</w:t>
            </w:r>
            <w:r>
              <w:rPr>
                <w:rFonts w:ascii="Arial" w:hAnsi="Arial" w:cs="Arial"/>
              </w:rPr>
              <w:t xml:space="preserve"> qualified to be part of AHPA.</w:t>
            </w:r>
          </w:p>
        </w:tc>
      </w:tr>
      <w:tr w:rsidR="00CE6216" w14:paraId="2A405897" w14:textId="77777777" w:rsidTr="00CE6216">
        <w:tc>
          <w:tcPr>
            <w:tcW w:w="4508" w:type="dxa"/>
          </w:tcPr>
          <w:p w14:paraId="4BFF5D81" w14:textId="77777777" w:rsidR="006563BE" w:rsidRPr="00513C6A" w:rsidRDefault="006563BE" w:rsidP="006563BE">
            <w:pPr>
              <w:rPr>
                <w:rFonts w:ascii="Arial" w:hAnsi="Arial" w:cs="Arial"/>
                <w:color w:val="FF0000"/>
              </w:rPr>
            </w:pPr>
            <w:r w:rsidRPr="00513C6A">
              <w:rPr>
                <w:rFonts w:ascii="Arial" w:hAnsi="Arial" w:cs="Arial"/>
              </w:rPr>
              <w:t>Is there an equivalent organisation that would recognise or be open to all DTAA members Australian and non-Australian?</w:t>
            </w:r>
          </w:p>
          <w:p w14:paraId="0664A7AF" w14:textId="77777777" w:rsidR="00CE6216" w:rsidRDefault="00CE6216" w:rsidP="006563BE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47791D98" w14:textId="77777777" w:rsidR="006563BE" w:rsidRDefault="006563BE" w:rsidP="006563B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No, and we do not need one.  DTAA credentials all DMTs, Australian and non-Australian, that meet its membership requirements.</w:t>
            </w:r>
          </w:p>
          <w:p w14:paraId="3D462A4F" w14:textId="77777777" w:rsidR="006563BE" w:rsidRDefault="006563BE" w:rsidP="006563B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It is important to realise that each credentialling/registration organisation supports their own specialty within the allied health field.  So </w:t>
            </w:r>
          </w:p>
          <w:p w14:paraId="075BD1DB" w14:textId="29433E34" w:rsidR="006563BE" w:rsidRDefault="006563BE" w:rsidP="006563BE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DTAA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credentials DMTs</w:t>
            </w:r>
          </w:p>
          <w:p w14:paraId="688E684B" w14:textId="067F5D24" w:rsidR="006563BE" w:rsidRDefault="006563BE" w:rsidP="006563BE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PACFA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credentials psychotherapists and counsellors</w:t>
            </w:r>
          </w:p>
          <w:p w14:paraId="3A43E5C1" w14:textId="6ACF3F7A" w:rsidR="006563BE" w:rsidRDefault="006563BE" w:rsidP="006563BE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ANZACATA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credentials Creative Arts Therapists (this IS a different training than DMT)</w:t>
            </w:r>
          </w:p>
          <w:p w14:paraId="59D1F527" w14:textId="1F291C4A" w:rsidR="006563BE" w:rsidRDefault="006563BE" w:rsidP="006563BE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AMTA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credentials music therapists</w:t>
            </w:r>
          </w:p>
          <w:p w14:paraId="5E8187B7" w14:textId="66B6C36A" w:rsidR="00CE6216" w:rsidRDefault="00CE6216" w:rsidP="006563BE">
            <w:pPr>
              <w:rPr>
                <w:rFonts w:ascii="Arial" w:hAnsi="Arial" w:cs="Arial"/>
              </w:rPr>
            </w:pPr>
          </w:p>
        </w:tc>
      </w:tr>
      <w:tr w:rsidR="00CE6216" w14:paraId="077745E0" w14:textId="77777777" w:rsidTr="00CE6216">
        <w:tc>
          <w:tcPr>
            <w:tcW w:w="4508" w:type="dxa"/>
          </w:tcPr>
          <w:p w14:paraId="01935BEC" w14:textId="487934CF" w:rsidR="00CE6216" w:rsidRDefault="00BD4BA8" w:rsidP="00656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the current financial burden borne by DTAA members and why is it unfair? </w:t>
            </w:r>
            <w:r>
              <w:rPr>
                <w:rFonts w:ascii="Arial" w:hAnsi="Arial" w:cs="Arial"/>
              </w:rPr>
              <w:t>Currently DTAA pays around</w:t>
            </w:r>
            <w:r w:rsidRPr="00BD4BA8">
              <w:rPr>
                <w:rFonts w:ascii="Arial" w:hAnsi="Arial" w:cs="Arial"/>
              </w:rPr>
              <w:t xml:space="preserve"> $4</w:t>
            </w:r>
            <w:r>
              <w:rPr>
                <w:rFonts w:ascii="Arial" w:hAnsi="Arial" w:cs="Arial"/>
              </w:rPr>
              <w:t>0</w:t>
            </w:r>
            <w:r w:rsidRPr="00BD4BA8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per year to PACFA. This means that spread</w:t>
            </w:r>
            <w:r w:rsidRPr="00BD4BA8">
              <w:rPr>
                <w:rFonts w:ascii="Arial" w:hAnsi="Arial" w:cs="Arial"/>
              </w:rPr>
              <w:t xml:space="preserve"> divided by 103 members </w:t>
            </w:r>
            <w:r>
              <w:rPr>
                <w:rFonts w:ascii="Arial" w:hAnsi="Arial" w:cs="Arial"/>
              </w:rPr>
              <w:t xml:space="preserve">that is only </w:t>
            </w:r>
            <w:r w:rsidRPr="00BD4BA8">
              <w:rPr>
                <w:rFonts w:ascii="Arial" w:hAnsi="Arial" w:cs="Arial"/>
              </w:rPr>
              <w:t xml:space="preserve">$43.68 per DTAA member. Is $ 43.68 per member worthwhile for DMT credibility of being </w:t>
            </w:r>
            <w:proofErr w:type="gramStart"/>
            <w:r w:rsidRPr="00BD4BA8">
              <w:rPr>
                <w:rFonts w:ascii="Arial" w:hAnsi="Arial" w:cs="Arial"/>
              </w:rPr>
              <w:t>an  MA</w:t>
            </w:r>
            <w:proofErr w:type="gramEnd"/>
            <w:r w:rsidRPr="00BD4BA8">
              <w:rPr>
                <w:rFonts w:ascii="Arial" w:hAnsi="Arial" w:cs="Arial"/>
              </w:rPr>
              <w:t xml:space="preserve"> of PACFA when members are looking for jobs  even if not an individual PACFA member?</w:t>
            </w:r>
          </w:p>
        </w:tc>
        <w:tc>
          <w:tcPr>
            <w:tcW w:w="4508" w:type="dxa"/>
          </w:tcPr>
          <w:p w14:paraId="266D8125" w14:textId="77777777" w:rsidR="00CE6216" w:rsidRDefault="00BD4BA8" w:rsidP="00656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Although $44 per member seems like a small figure there are clear reasons it is inequitable:</w:t>
            </w:r>
          </w:p>
          <w:p w14:paraId="5A897686" w14:textId="77777777" w:rsidR="00BD4BA8" w:rsidRDefault="00BD4BA8" w:rsidP="00BD4BA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Only 8 DTAA members currently gain any advantage as they are registered with PACFA</w:t>
            </w:r>
          </w:p>
          <w:p w14:paraId="1D3B1591" w14:textId="77777777" w:rsidR="00BD4BA8" w:rsidRDefault="00BD4BA8" w:rsidP="00BD4BA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Anyone who is not a registered PACFA member and who gains employment on the basis of DTAA being a </w:t>
            </w:r>
            <w:proofErr w:type="gramStart"/>
            <w:r>
              <w:rPr>
                <w:rFonts w:ascii="Arial" w:hAnsi="Arial" w:cs="Arial"/>
              </w:rPr>
              <w:t>members</w:t>
            </w:r>
            <w:proofErr w:type="gramEnd"/>
            <w:r>
              <w:rPr>
                <w:rFonts w:ascii="Arial" w:hAnsi="Arial" w:cs="Arial"/>
              </w:rPr>
              <w:t xml:space="preserve"> association is in breach of PACFA rules.</w:t>
            </w:r>
          </w:p>
          <w:p w14:paraId="67CA17AC" w14:textId="77777777" w:rsidR="00BD4BA8" w:rsidRDefault="00BD4BA8" w:rsidP="00BD4BA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PACFA only has meaning to our Australian employers.  </w:t>
            </w:r>
            <w:r w:rsidR="004C060D">
              <w:rPr>
                <w:rFonts w:ascii="Arial" w:hAnsi="Arial" w:cs="Arial"/>
              </w:rPr>
              <w:t>Forty five percent (45%) of our members are NOT Australian, thus they pay for something of little value.</w:t>
            </w:r>
          </w:p>
          <w:p w14:paraId="0D3A0FA8" w14:textId="04B08A3F" w:rsidR="004C060D" w:rsidRPr="00BD4BA8" w:rsidRDefault="004C060D" w:rsidP="00BD4BA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Finally</w:t>
            </w:r>
            <w:proofErr w:type="gramEnd"/>
            <w:r>
              <w:rPr>
                <w:rFonts w:ascii="Arial" w:hAnsi="Arial" w:cs="Arial"/>
              </w:rPr>
              <w:t xml:space="preserve"> $4000 is actually more than 10% of DTAA’s total income.  DTAA has many other projects that could benefit from that portion of the budget.</w:t>
            </w:r>
          </w:p>
        </w:tc>
      </w:tr>
    </w:tbl>
    <w:p w14:paraId="5EA8888C" w14:textId="77777777" w:rsidR="00CE6216" w:rsidRPr="00513C6A" w:rsidRDefault="00CE6216" w:rsidP="006563BE">
      <w:pPr>
        <w:rPr>
          <w:rFonts w:ascii="Arial" w:hAnsi="Arial" w:cs="Arial"/>
        </w:rPr>
      </w:pPr>
    </w:p>
    <w:sectPr w:rsidR="00CE6216" w:rsidRPr="00513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C98"/>
    <w:multiLevelType w:val="hybridMultilevel"/>
    <w:tmpl w:val="6B9CD1B8"/>
    <w:lvl w:ilvl="0" w:tplc="FBF8F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1DBD"/>
    <w:multiLevelType w:val="multilevel"/>
    <w:tmpl w:val="49EA1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56741"/>
    <w:multiLevelType w:val="multilevel"/>
    <w:tmpl w:val="F9F28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5C5FC7"/>
    <w:multiLevelType w:val="hybridMultilevel"/>
    <w:tmpl w:val="F4CA79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5331"/>
    <w:multiLevelType w:val="hybridMultilevel"/>
    <w:tmpl w:val="FA9CF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167206">
    <w:abstractNumId w:val="2"/>
    <w:lvlOverride w:ilvl="0">
      <w:lvl w:ilvl="0">
        <w:numFmt w:val="lowerLetter"/>
        <w:lvlText w:val="%1."/>
        <w:lvlJc w:val="left"/>
      </w:lvl>
    </w:lvlOverride>
  </w:num>
  <w:num w:numId="2" w16cid:durableId="1954167206">
    <w:abstractNumId w:val="2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3" w16cid:durableId="1954167206">
    <w:abstractNumId w:val="2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4" w16cid:durableId="1954167206">
    <w:abstractNumId w:val="2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5" w16cid:durableId="1574124495">
    <w:abstractNumId w:val="4"/>
  </w:num>
  <w:num w:numId="6" w16cid:durableId="1012417606">
    <w:abstractNumId w:val="1"/>
    <w:lvlOverride w:ilvl="0">
      <w:lvl w:ilvl="0">
        <w:numFmt w:val="lowerLetter"/>
        <w:lvlText w:val="%1."/>
        <w:lvlJc w:val="left"/>
      </w:lvl>
    </w:lvlOverride>
  </w:num>
  <w:num w:numId="7" w16cid:durableId="1012417606">
    <w:abstractNumId w:val="1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8" w16cid:durableId="721487236">
    <w:abstractNumId w:val="3"/>
  </w:num>
  <w:num w:numId="9" w16cid:durableId="1173764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99"/>
    <w:rsid w:val="00050CC2"/>
    <w:rsid w:val="00207C85"/>
    <w:rsid w:val="00325599"/>
    <w:rsid w:val="0038278A"/>
    <w:rsid w:val="004C060D"/>
    <w:rsid w:val="00513C6A"/>
    <w:rsid w:val="006563BE"/>
    <w:rsid w:val="00957A5C"/>
    <w:rsid w:val="00A52B87"/>
    <w:rsid w:val="00BD4BA8"/>
    <w:rsid w:val="00CE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0E1B7"/>
  <w15:chartTrackingRefBased/>
  <w15:docId w15:val="{25505219-41BB-4578-8246-9B356177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5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59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E6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8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BD4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cfa.org.au/Portal/Prac-Res/Resources/PACFA-Scope-of-Practice.aspx?WebsiteKey=663df354-bb4c-40db-9f44-9f1e672224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Mioi Forster-Nakayama</dc:creator>
  <cp:keywords/>
  <dc:description/>
  <cp:lastModifiedBy>Sandra Lauffenburger</cp:lastModifiedBy>
  <cp:revision>6</cp:revision>
  <dcterms:created xsi:type="dcterms:W3CDTF">2022-07-17T23:46:00Z</dcterms:created>
  <dcterms:modified xsi:type="dcterms:W3CDTF">2022-07-18T00:02:00Z</dcterms:modified>
</cp:coreProperties>
</file>